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nil"/>
        <w:tblInd w:w="0" w:type="nil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530"/>
        <w:gridCol w:w="318"/>
        <w:gridCol w:w="424"/>
        <w:gridCol w:w="318"/>
        <w:gridCol w:w="742"/>
        <w:gridCol w:w="222"/>
        <w:gridCol w:w="1133"/>
        <w:gridCol w:w="385"/>
        <w:gridCol w:w="749"/>
        <w:gridCol w:w="592"/>
        <w:gridCol w:w="212"/>
        <w:gridCol w:w="2120"/>
        <w:gridCol w:w="1612"/>
        <w:gridCol w:w="397"/>
      </w:tblGrid>
      <w:tr w:rsidR="00000000">
        <w:tblPrEx>
          <w:tblCellMar>
            <w:left w:w="0" w:type="dxa"/>
            <w:right w:w="0" w:type="dxa"/>
          </w:tblCellMar>
        </w:tblPrEx>
        <w:trPr>
          <w:cantSplit/>
          <w:trHeight w:hRule="exact" w:val="382"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Hacienda Riquelme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hRule="exact" w:val="471"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MD Trophy 2018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hRule="exact" w:val="382"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Printed: 15 September 2018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Competition Result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Competition played on 15 September 2018 at HRGR 2012.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Full Nett Result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Nett Diff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Hcap Chg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New Hcap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Overall Position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Score (Strokes Rcd)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Placing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-1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-0.2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11.3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102C52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  <w:t>1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Graham Collins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37 pts (12)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highlight w:val="yellow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Winning Man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11.0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magenta"/>
              </w:rPr>
            </w:pPr>
            <w:r w:rsidRPr="00102C52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magenta"/>
              </w:rPr>
              <w:t>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  <w:t>Annick D'Anvers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highlight w:val="magenta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  <w:t>34 pts (11)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highlight w:val="magent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Winning Lady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16.2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</w:pPr>
            <w:r w:rsidRPr="00102C52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yellow"/>
              </w:rPr>
              <w:t>3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Mike Portlock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34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highlight w:val="yellow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yellow"/>
              </w:rPr>
              <w:t>Runner Up Man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Rick Goy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 pts (07)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Gordon Hutchinson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 pts (19)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Steve Hewitt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 pts (07)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Sam McReynold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 pts (08)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Steve Birt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Joe Leahy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pts (22)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Leonard O'Keeffe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pts (15)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green"/>
              </w:rPr>
              <w:t>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green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green"/>
              </w:rPr>
              <w:t>7.1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</w:pPr>
            <w:r w:rsidRPr="00102C52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green"/>
              </w:rPr>
              <w:t>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Steve Rice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30 pts (07)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highlight w:val="green"/>
              </w:rPr>
            </w:pPr>
            <w:r w:rsidRPr="00102C52">
              <w:rPr>
                <w:rFonts w:ascii="Arial" w:hAnsi="Arial" w:cs="Arial"/>
                <w:highlight w:val="green"/>
              </w:rPr>
              <w:t xml:space="preserve"> 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green"/>
              </w:rPr>
              <w:t>Winning Visitor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Tony Foster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(21)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Stephen Cherry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13.9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Paul Sawyers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(14)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Carlos Fuertes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(24)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Luis Garcia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Graeme McKnight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pts (12)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22.0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magenta"/>
              </w:rPr>
            </w:pPr>
            <w:r w:rsidRPr="00102C52">
              <w:rPr>
                <w:rFonts w:ascii="Times New Roman" w:hAnsi="Times New Roman" w:cs="Times New Roman"/>
                <w:i/>
                <w:iCs/>
                <w:sz w:val="16"/>
                <w:szCs w:val="16"/>
                <w:highlight w:val="magenta"/>
              </w:rPr>
              <w:t>18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  <w:t>Linda Portlock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highlight w:val="magenta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</w:pPr>
            <w:r w:rsidRPr="00102C52">
              <w:rPr>
                <w:rFonts w:ascii="Arial" w:hAnsi="Arial" w:cs="Arial"/>
                <w:b/>
                <w:bCs/>
                <w:sz w:val="18"/>
                <w:szCs w:val="18"/>
                <w:highlight w:val="magenta"/>
              </w:rPr>
              <w:t>28 pts (22)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0E3F46">
            <w:pPr>
              <w:shd w:val="clear" w:color="auto" w:fill="FFFFFF"/>
              <w:spacing w:after="57"/>
              <w:rPr>
                <w:rFonts w:ascii="Arial" w:hAnsi="Arial" w:cs="Arial"/>
                <w:highlight w:val="magenta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Pr="00102C52" w:rsidRDefault="00102C52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  <w:highlight w:val="magenta"/>
              </w:rPr>
            </w:pPr>
            <w:r w:rsidRPr="00102C52">
              <w:rPr>
                <w:rFonts w:ascii="Arial" w:hAnsi="Arial" w:cs="Arial"/>
                <w:sz w:val="16"/>
                <w:szCs w:val="16"/>
                <w:highlight w:val="magenta"/>
              </w:rPr>
              <w:t>Runner Up Lady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Hans Beque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pts (18)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Felix Perez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pts (25)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Mark Hatfield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pts (13)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19.7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Ramon Iciar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pts (20)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Antony Derbyshire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James Barlow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pts (07)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Jason Swann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pts (13)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15.6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Paul Liggett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27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Stuart Carnie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pts (10)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27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Tracy Ireland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pts (36)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 Hudson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pts (12)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Mick Hocknell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pts (15)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Michael Joines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pts (32)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20.5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Andrew Stow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pts (20)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Annette Deeley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pts (09)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Steve Mullaney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pts (11)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Rob Moore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pts (10)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Patricia Gingell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pts (34)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John Breaker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pts (17)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Dave Maskens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pts (10)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Mark Digby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pts (17)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Rick Sorsby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pts (16)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Liz McReynolds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 pts (32)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David Cripps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 pts (06)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James Silvesro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pts (07)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Karen Rice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pts (37)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45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John Watts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 pts (11)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46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Russ Horswood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pts (09)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37.4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46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Jill Leahy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pts (37)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46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Thomas Megaw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pts (14)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49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Caroline Cherry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pts (20)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50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Rachel McKnight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pts (39)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51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Martin Sheridan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pts (13)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52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Roger Wood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pts (15)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17.4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Garry Wilkinson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Return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Score Recorded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2"/>
          <w:cantSplit/>
        </w:trPr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+0.1</w:t>
            </w:r>
          </w:p>
        </w:tc>
        <w:tc>
          <w:tcPr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</w:t>
            </w: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Mick Brooke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 Return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Score Recorded</w:t>
            </w: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  <w:tc>
          <w:tcPr>
            <w:gridSpan w:val="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Cards Processed = 54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Competition Format: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Singles Stableford competition. Handicap allowance: Full allowance. Mixed Tee Competition: When separate tees are in use, the number of strokes received by some players is adjusted to allow for the differences in the course played. These adjustments are fo</w:t>
            </w:r>
            <w:r>
              <w:rPr>
                <w:rFonts w:ascii="Arial" w:hAnsi="Arial" w:cs="Arial"/>
              </w:rPr>
              <w:t>r competition ranking purposes only.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Competition Scratch Score (CSS):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blHeader/>
        </w:trP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Tees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SSS</w:t>
            </w:r>
          </w:p>
        </w:tc>
        <w:tc>
          <w:tcPr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Competition Scratch Score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Yellow (Men)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(36 Stableford Points)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(Ladies)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40" w:after="40"/>
              <w:ind w:left="40" w:right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(36 Stableford Points)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Countback calculations: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Countback scores are not shown as Matching Cards (as detailed in the Rules of Golf Appendix I) was not used to decide ties for this competition.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 to Handicaps: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57" w:after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Handicaps for the following HOME Club members have changed: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  <w:tblHeader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Previous Handicap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New Handicap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John Breaker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Graham Collins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 Hudson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Rob Moore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Martin Sheridan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gridAfter w:val="1"/>
          <w:cantSplit/>
        </w:trPr>
        <w:tc>
          <w:tcPr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Andrew Stow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0E3F46">
            <w:pPr>
              <w:shd w:val="clear" w:color="auto" w:fill="FFFFFF"/>
              <w:spacing w:before="20" w:after="20"/>
              <w:ind w:left="20" w:right="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0E3F46" w:rsidRDefault="000E3F46"/>
    <w:sectPr w:rsidR="000E3F46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624" w:bottom="567" w:left="68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F46" w:rsidRDefault="000E3F46">
      <w:r>
        <w:separator/>
      </w:r>
    </w:p>
  </w:endnote>
  <w:endnote w:type="continuationSeparator" w:id="0">
    <w:p w:rsidR="000E3F46" w:rsidRDefault="000E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E3F46">
    <w:pPr>
      <w:widowControl w:val="0"/>
      <w:rPr>
        <w:rFonts w:ascii="Symbol" w:hAnsi="Symbol" w:cstheme="minorBidi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E3F46">
    <w:pPr>
      <w:widowControl w:val="0"/>
      <w:rPr>
        <w:rFonts w:ascii="Symbol" w:hAnsi="Symbol" w:cstheme="minorBidi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F46" w:rsidRDefault="000E3F46">
      <w:r>
        <w:separator/>
      </w:r>
    </w:p>
  </w:footnote>
  <w:footnote w:type="continuationSeparator" w:id="0">
    <w:p w:rsidR="000E3F46" w:rsidRDefault="000E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E3F4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Competition Report (Full Nett Result) - MD Trophy 2018 - 15 September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E3F46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Competition Report (Full Nett Result) - MD Trophy 2018 - 15 September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2"/>
    <w:rsid w:val="000E3F46"/>
    <w:rsid w:val="00102C52"/>
    <w:rsid w:val="00404B3C"/>
    <w:rsid w:val="008C48C1"/>
    <w:rsid w:val="009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91476"/>
  <w14:defaultImageDpi w14:val="0"/>
  <w15:docId w15:val="{594EFB5A-9EF2-4ED0-992D-3C983AB8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rdana" w:hAnsi="Verdana" w:cs="Verdan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Verdana" w:hAnsi="Verdana" w:cs="Verdana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4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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</dc:title>
  <dc:subject/>
  <dc:creator></dc:creator>
  <cp:keywords/>
  <dc:description/>
  <cp:lastModifiedBy>Margaret Daniels</cp:lastModifiedBy>
  <cp:revision>2</cp:revision>
  <cp:lastPrinted>2018-09-16T07:29:00Z</cp:lastPrinted>
  <dcterms:created xsi:type="dcterms:W3CDTF">2018-09-16T07:30:00Z</dcterms:created>
  <dcterms:modified xsi:type="dcterms:W3CDTF">2018-09-16T07:30:00Z</dcterms:modified>
</cp:coreProperties>
</file>